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5B2B18" w:rsidRPr="005B2B18" w:rsidRDefault="005B2B18" w:rsidP="005B2B18">
      <w:pPr>
        <w:bidi/>
        <w:spacing w:before="100" w:beforeAutospacing="1" w:after="100" w:afterAutospacing="1" w:line="240" w:lineRule="auto"/>
        <w:jc w:val="center"/>
        <w:outlineLvl w:val="0"/>
        <w:rPr>
          <w:rFonts w:cs="Aban" w:hint="cs"/>
          <w:color w:val="17365D" w:themeColor="text2" w:themeShade="BF"/>
          <w:sz w:val="28"/>
          <w:szCs w:val="28"/>
          <w:rtl/>
          <w:lang w:bidi="fa-IR"/>
        </w:rPr>
      </w:pPr>
      <w:r w:rsidRPr="005B2B18">
        <w:rPr>
          <w:rFonts w:cs="Aban" w:hint="cs"/>
          <w:color w:val="17365D" w:themeColor="text2" w:themeShade="BF"/>
          <w:sz w:val="28"/>
          <w:szCs w:val="28"/>
          <w:rtl/>
          <w:lang w:bidi="fa-IR"/>
        </w:rPr>
        <w:t>بسمه تعالی</w:t>
      </w:r>
    </w:p>
    <w:p w:rsidR="00FE412C" w:rsidRPr="005B2B18" w:rsidRDefault="00A45368" w:rsidP="005B2B18">
      <w:pPr>
        <w:bidi/>
        <w:spacing w:beforeAutospacing="1" w:after="0" w:afterAutospacing="1" w:line="240" w:lineRule="auto"/>
        <w:jc w:val="center"/>
        <w:outlineLvl w:val="0"/>
        <w:rPr>
          <w:rFonts w:ascii="Times New Roman" w:eastAsia="Times New Roman" w:hAnsi="Times New Roman" w:cs="Aban"/>
          <w:b/>
          <w:bCs/>
          <w:color w:val="17365D" w:themeColor="text2" w:themeShade="BF"/>
          <w:kern w:val="36"/>
          <w:sz w:val="56"/>
          <w:szCs w:val="56"/>
        </w:rPr>
      </w:pPr>
      <w:hyperlink r:id="rId4" w:history="1">
        <w:r w:rsidR="00FE412C" w:rsidRPr="005B2B18">
          <w:rPr>
            <w:rFonts w:ascii="Times New Roman" w:eastAsia="Times New Roman" w:hAnsi="Times New Roman" w:cs="Aban"/>
            <w:b/>
            <w:bCs/>
            <w:color w:val="17365D" w:themeColor="text2" w:themeShade="BF"/>
            <w:kern w:val="36"/>
            <w:sz w:val="44"/>
            <w:szCs w:val="28"/>
            <w:rtl/>
          </w:rPr>
          <w:t>مزایای آزمون‌های کفایت تخصصی</w:t>
        </w:r>
        <w:r w:rsidR="00FE412C" w:rsidRPr="005B2B18">
          <w:rPr>
            <w:rFonts w:ascii="Times New Roman" w:eastAsia="Times New Roman" w:hAnsi="Times New Roman" w:cs="Aban"/>
            <w:b/>
            <w:bCs/>
            <w:color w:val="17365D" w:themeColor="text2" w:themeShade="BF"/>
            <w:kern w:val="36"/>
            <w:sz w:val="36"/>
          </w:rPr>
          <w:t xml:space="preserve"> (PT)</w:t>
        </w:r>
      </w:hyperlink>
    </w:p>
    <w:p w:rsidR="00FE412C" w:rsidRPr="005B2B18" w:rsidRDefault="00FE412C" w:rsidP="005B2B18">
      <w:pPr>
        <w:bidi/>
        <w:spacing w:before="100" w:beforeAutospacing="1" w:after="0" w:line="375" w:lineRule="atLeast"/>
        <w:jc w:val="both"/>
        <w:rPr>
          <w:rFonts w:ascii="Times New Roman" w:eastAsia="Times New Roman" w:hAnsi="Times New Roman" w:cs="Aban"/>
          <w:color w:val="17365D" w:themeColor="text2" w:themeShade="BF"/>
          <w:sz w:val="18"/>
          <w:szCs w:val="18"/>
        </w:rPr>
      </w:pPr>
      <w:r w:rsidRPr="005B2B18">
        <w:rPr>
          <w:rFonts w:ascii="Times New Roman" w:eastAsia="Times New Roman" w:hAnsi="Times New Roman" w:cs="Aban"/>
          <w:color w:val="17365D" w:themeColor="text2" w:themeShade="BF"/>
          <w:sz w:val="32"/>
          <w:szCs w:val="32"/>
          <w:rtl/>
          <w:lang w:bidi="fa-IR"/>
        </w:rPr>
        <w:t>در آزمون‌های کفایت تخصصی</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Pr>
        <w:t>(PT)</w:t>
      </w:r>
      <w:r w:rsidRPr="005B2B18">
        <w:rPr>
          <w:rFonts w:ascii="Times New Roman" w:eastAsia="Times New Roman" w:hAnsi="Times New Roman" w:cs="Aban"/>
          <w:color w:val="17365D" w:themeColor="text2" w:themeShade="BF"/>
          <w:sz w:val="32"/>
          <w:szCs w:val="32"/>
          <w:rtl/>
          <w:lang w:bidi="fa-IR"/>
        </w:rPr>
        <w:t>، سازمان‌دهنده برنامه</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Pr>
        <w:t>(PT Body)</w:t>
      </w:r>
      <w:r w:rsidRPr="005B2B18">
        <w:rPr>
          <w:rFonts w:ascii="Times New Roman" w:eastAsia="Times New Roman" w:hAnsi="Times New Roman" w:cs="Aban"/>
          <w:color w:val="17365D" w:themeColor="text2" w:themeShade="BF"/>
          <w:sz w:val="32"/>
          <w:szCs w:val="32"/>
          <w:rtl/>
          <w:lang w:bidi="fa-IR"/>
        </w:rPr>
        <w:t>، نمونه‌هایی را از یک ماده همگن برای هر یک از آزمایشگاه‌های شرکت‌کننده، ارسال می‌نماید. این آزمایشگاه‌ها، مواد را تحت شرایط آزمایشگاهی خود آنالیز کرده و نتیجه را به سازمان‌دهنده</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Pr>
        <w:t>(PT Body)</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tl/>
          <w:lang w:bidi="fa-IR"/>
        </w:rPr>
        <w:t>گزارش می‌نمایند. سازمان‌دهنده، نتایج را جمع‌بندی نموده و شرکت‌کنندگان را از نتیجه آزمون (معمولاً به شکل امتیاز مرتبط با صحت ایشان)، آگاه می‌نماید. اگرچه مشارکت در برنامه‌های آزمون کفایت تخصصی</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Pr>
        <w:t>(Proficiency Testing)</w:t>
      </w:r>
      <w:r w:rsidRPr="005B2B18">
        <w:rPr>
          <w:rFonts w:ascii="Times New Roman" w:eastAsia="Times New Roman" w:hAnsi="Times New Roman" w:cs="Aban"/>
          <w:color w:val="17365D" w:themeColor="text2" w:themeShade="BF"/>
          <w:szCs w:val="32"/>
          <w:rtl/>
        </w:rPr>
        <w:t> </w:t>
      </w:r>
      <w:r w:rsidRPr="005B2B18">
        <w:rPr>
          <w:rFonts w:ascii="Times New Roman" w:eastAsia="Times New Roman" w:hAnsi="Times New Roman" w:cs="Aban"/>
          <w:color w:val="17365D" w:themeColor="text2" w:themeShade="BF"/>
          <w:sz w:val="32"/>
          <w:szCs w:val="32"/>
          <w:rtl/>
        </w:rPr>
        <w:t>برای</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tl/>
          <w:lang w:bidi="fa-IR"/>
        </w:rPr>
        <w:t>آزمایشگاه ها، ابزاری جهت برآورده کردن الزامات مراجع اعتباردهی</w:t>
      </w:r>
      <w:r w:rsidRPr="005B2B18">
        <w:rPr>
          <w:rFonts w:ascii="Times New Roman" w:eastAsia="Times New Roman" w:hAnsi="Times New Roman" w:cs="Aban"/>
          <w:color w:val="17365D" w:themeColor="text2" w:themeShade="BF"/>
          <w:sz w:val="32"/>
          <w:szCs w:val="32"/>
        </w:rPr>
        <w:t>(Accreditation Body)</w:t>
      </w:r>
      <w:r w:rsidRPr="005B2B18">
        <w:rPr>
          <w:rFonts w:ascii="Times New Roman" w:eastAsia="Times New Roman" w:hAnsi="Times New Roman" w:cs="Aban"/>
          <w:color w:val="17365D" w:themeColor="text2" w:themeShade="BF"/>
          <w:szCs w:val="32"/>
          <w:rtl/>
        </w:rPr>
        <w:t> </w:t>
      </w:r>
      <w:r w:rsidRPr="005B2B18">
        <w:rPr>
          <w:rFonts w:ascii="Times New Roman" w:eastAsia="Times New Roman" w:hAnsi="Times New Roman" w:cs="Aban"/>
          <w:color w:val="17365D" w:themeColor="text2" w:themeShade="BF"/>
          <w:sz w:val="32"/>
          <w:szCs w:val="32"/>
          <w:rtl/>
          <w:lang w:bidi="fa-IR"/>
        </w:rPr>
        <w:t>است، سایر مزایای مشارکت در یک برنامه</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Pr>
        <w:t>PT</w:t>
      </w:r>
      <w:r w:rsidRPr="005B2B18">
        <w:rPr>
          <w:rFonts w:ascii="Times New Roman" w:eastAsia="Times New Roman" w:hAnsi="Times New Roman" w:cs="Aban"/>
          <w:color w:val="17365D" w:themeColor="text2" w:themeShade="BF"/>
          <w:sz w:val="32"/>
          <w:szCs w:val="32"/>
          <w:rtl/>
          <w:lang w:bidi="fa-IR"/>
        </w:rPr>
        <w:t>با طراحی و سازماندهی مناسب، شامل موارد زیر می‌باشد:</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17365D" w:themeColor="text2" w:themeShade="BF"/>
          <w:sz w:val="18"/>
          <w:szCs w:val="18"/>
          <w:rtl/>
        </w:rPr>
      </w:pPr>
      <w:r w:rsidRPr="005B2B18">
        <w:rPr>
          <w:rFonts w:ascii="Times New Roman" w:eastAsia="Times New Roman" w:hAnsi="Times New Roman" w:cs="Aban"/>
          <w:color w:val="17365D" w:themeColor="text2" w:themeShade="BF"/>
          <w:sz w:val="32"/>
          <w:szCs w:val="32"/>
          <w:rtl/>
          <w:lang w:bidi="fa-IR"/>
        </w:rPr>
        <w:t>تایید عملکرد مناسب آزمایشگاه: هدف اصلی آزمون‌های</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Pr>
        <w:t>PT</w:t>
      </w:r>
      <w:r w:rsidRPr="005B2B18">
        <w:rPr>
          <w:rFonts w:ascii="Times New Roman" w:eastAsia="Times New Roman" w:hAnsi="Times New Roman" w:cs="Aban"/>
          <w:color w:val="17365D" w:themeColor="text2" w:themeShade="BF"/>
          <w:sz w:val="32"/>
          <w:szCs w:val="32"/>
          <w:rtl/>
          <w:lang w:bidi="fa-IR"/>
        </w:rPr>
        <w:t>، ارزیابی عملکرد آزمایشگاه‌ در انجام آزمون‌ها و کالیبراسیون‌ها می‌باشد. بسیاری از آزمایشگاه‌ها امکان مقایسه داده‌ها و نتایج خود را با سایر آزمایشگاه‌ها ندارند. در این شرایط، احتمال اینکه نتایج تولید شده توسط آزمایشگاه دارای خطا، گرایش و یا اختلاف معنادار در مقایسه با سایر آزمایشگا</w:t>
      </w:r>
      <w:r w:rsidRPr="005B2B18">
        <w:rPr>
          <w:rFonts w:ascii="Times New Roman" w:eastAsia="Times New Roman" w:hAnsi="Times New Roman" w:cs="Aban"/>
          <w:i/>
          <w:iCs/>
          <w:color w:val="17365D" w:themeColor="text2" w:themeShade="BF"/>
          <w:sz w:val="32"/>
          <w:szCs w:val="32"/>
          <w:rtl/>
          <w:lang w:bidi="fa-IR"/>
        </w:rPr>
        <w:t>‌ه</w:t>
      </w:r>
      <w:r w:rsidRPr="005B2B18">
        <w:rPr>
          <w:rFonts w:ascii="Times New Roman" w:eastAsia="Times New Roman" w:hAnsi="Times New Roman" w:cs="Aban"/>
          <w:color w:val="17365D" w:themeColor="text2" w:themeShade="BF"/>
          <w:sz w:val="32"/>
          <w:szCs w:val="32"/>
          <w:rtl/>
          <w:lang w:bidi="fa-IR"/>
        </w:rPr>
        <w:t>‌های مشابه باشد، وجود دارد. مشارکت در آزمون‌های</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Pr>
        <w:t>PT</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tl/>
          <w:lang w:bidi="fa-IR"/>
        </w:rPr>
        <w:t>امکان مقایسه عملکرد آزمایشگاه را با یک ماده مرجع و با سایر آزمایشگاه‌ها فراهم می‌کند. اگر آزمایشگاه به طور مداوم در برنامه‌های آزمون کفایت تخصصی مشارکت داشته باشد، امکان پایش و مقایسه مداوم داده‌های تولید شده در آزمایشگاه برای مدیریت آزمایشگاه فراهم می‌شود.</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17365D" w:themeColor="text2" w:themeShade="BF"/>
          <w:sz w:val="18"/>
          <w:szCs w:val="18"/>
          <w:rtl/>
        </w:rPr>
      </w:pPr>
      <w:r w:rsidRPr="005B2B18">
        <w:rPr>
          <w:rFonts w:ascii="Times New Roman" w:eastAsia="Times New Roman" w:hAnsi="Times New Roman" w:cs="Aban"/>
          <w:color w:val="17365D" w:themeColor="text2" w:themeShade="BF"/>
          <w:sz w:val="32"/>
          <w:szCs w:val="32"/>
          <w:rtl/>
          <w:lang w:bidi="fa-IR"/>
        </w:rPr>
        <w:t xml:space="preserve">شناسایی مشکلات آزمون‌ها و اندازه‌گیری‌ها:اگر نتایج آزمایشگاه در برنامه‌های آزمون کفایت تخصصی رضایت‌بخش نباشد، آزمایشگاه اقدام به شناسایی دلایل بالقوه خطا و انجام اصلاحات لازم جهت رفع آن‌ها می‌‌نماید. در صورت عدم مشارکت در برنامه‌های آزمون کفایت تخصصی، این خطاها بدون اینکه شناسایی شوند و اقدامات اصلاحی مناسب در ارتباط با آن‌‌ها صورت پذیرد در آزمایشگاه باقی می‌مانند. وجود خطاهای شناسایی نشده در آزمایشگاه باعث تولید </w:t>
      </w:r>
      <w:r w:rsidRPr="005B2B18">
        <w:rPr>
          <w:rFonts w:ascii="Times New Roman" w:eastAsia="Times New Roman" w:hAnsi="Times New Roman" w:cs="Aban"/>
          <w:color w:val="17365D" w:themeColor="text2" w:themeShade="BF"/>
          <w:sz w:val="32"/>
          <w:szCs w:val="32"/>
          <w:rtl/>
          <w:lang w:bidi="fa-IR"/>
        </w:rPr>
        <w:lastRenderedPageBreak/>
        <w:t>نتایج ضعیف توسط آزمایشگاه، ایجاد نارضایتی مدیران، مشتریان و سایر دینفعان آزمایشگاه و از دست دادن اعتبار آزمایشگاه می‌گردد.</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943634" w:themeColor="accent2" w:themeShade="BF"/>
          <w:sz w:val="18"/>
          <w:szCs w:val="18"/>
          <w:rtl/>
        </w:rPr>
      </w:pPr>
      <w:r w:rsidRPr="005B2B18">
        <w:rPr>
          <w:rFonts w:ascii="Times New Roman" w:eastAsia="Times New Roman" w:hAnsi="Times New Roman" w:cs="Aban"/>
          <w:color w:val="943634" w:themeColor="accent2" w:themeShade="BF"/>
          <w:sz w:val="32"/>
          <w:szCs w:val="32"/>
          <w:rtl/>
          <w:lang w:bidi="fa-IR"/>
        </w:rPr>
        <w:t>مقایسه روش‌ها</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17365D" w:themeColor="text2" w:themeShade="BF"/>
          <w:sz w:val="18"/>
          <w:szCs w:val="18"/>
          <w:rtl/>
        </w:rPr>
      </w:pPr>
      <w:r w:rsidRPr="005B2B18">
        <w:rPr>
          <w:rFonts w:ascii="Times New Roman" w:eastAsia="Times New Roman" w:hAnsi="Times New Roman" w:cs="Aban"/>
          <w:color w:val="17365D" w:themeColor="text2" w:themeShade="BF"/>
          <w:sz w:val="32"/>
          <w:szCs w:val="32"/>
          <w:rtl/>
          <w:lang w:bidi="fa-IR"/>
        </w:rPr>
        <w:t>مشارکت در آزمون‌های کفایت تخصصی می‌تواند برای تایید عملکرد روش‌های جدید، تغییر یافته و یا طراحی شده توسط آزمایشگاه مورد استفاده قرار گیرد. مشارکت در آزمون‌های کفایت تخصصی امکان مقایسه نتایج تولید شده در آزمایشگاه را با نتایج تولید شده در آزمایشگاه‌های دیگر و با روش‌های متفاوت فراهم می‌آورد.</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943634" w:themeColor="accent2" w:themeShade="BF"/>
          <w:sz w:val="18"/>
          <w:szCs w:val="18"/>
          <w:rtl/>
        </w:rPr>
      </w:pPr>
      <w:r w:rsidRPr="005B2B18">
        <w:rPr>
          <w:rFonts w:ascii="Times New Roman" w:eastAsia="Times New Roman" w:hAnsi="Times New Roman" w:cs="Aban"/>
          <w:color w:val="943634" w:themeColor="accent2" w:themeShade="BF"/>
          <w:sz w:val="32"/>
          <w:szCs w:val="32"/>
          <w:rtl/>
          <w:lang w:bidi="fa-IR"/>
        </w:rPr>
        <w:t>آموزش پرسنل</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17365D" w:themeColor="text2" w:themeShade="BF"/>
          <w:sz w:val="18"/>
          <w:szCs w:val="18"/>
          <w:rtl/>
        </w:rPr>
      </w:pPr>
      <w:r w:rsidRPr="005B2B18">
        <w:rPr>
          <w:rFonts w:ascii="Times New Roman" w:eastAsia="Times New Roman" w:hAnsi="Times New Roman" w:cs="Aban"/>
          <w:color w:val="17365D" w:themeColor="text2" w:themeShade="BF"/>
          <w:sz w:val="32"/>
          <w:szCs w:val="32"/>
          <w:rtl/>
          <w:lang w:bidi="fa-IR"/>
        </w:rPr>
        <w:t>برخی از برنامه‌های آزمون کفایت تخصصی، اطلاعاتی در خصوص متدولوژی، تفسیر داد‌ه‌‌ها و عدم‌قطعیت آزمون ارایه می‌دهند. این اطلاعات می‌تواند به عنوان ابزار آموزشی برای کارکنان شرکت‌کننده در آزمون‌های کفایت تخصصی مورد استفاده قرار گیرد.</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943634" w:themeColor="accent2" w:themeShade="BF"/>
          <w:sz w:val="18"/>
          <w:szCs w:val="18"/>
          <w:rtl/>
        </w:rPr>
      </w:pPr>
      <w:r w:rsidRPr="005B2B18">
        <w:rPr>
          <w:rFonts w:ascii="Times New Roman" w:eastAsia="Times New Roman" w:hAnsi="Times New Roman" w:cs="Aban"/>
          <w:color w:val="943634" w:themeColor="accent2" w:themeShade="BF"/>
          <w:sz w:val="32"/>
          <w:szCs w:val="32"/>
          <w:rtl/>
          <w:lang w:bidi="fa-IR"/>
        </w:rPr>
        <w:t>بهبود عملکرد</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17365D" w:themeColor="text2" w:themeShade="BF"/>
          <w:sz w:val="18"/>
          <w:szCs w:val="18"/>
          <w:rtl/>
        </w:rPr>
      </w:pPr>
      <w:r w:rsidRPr="005B2B18">
        <w:rPr>
          <w:rFonts w:ascii="Times New Roman" w:eastAsia="Times New Roman" w:hAnsi="Times New Roman" w:cs="Aban"/>
          <w:color w:val="17365D" w:themeColor="text2" w:themeShade="BF"/>
          <w:sz w:val="32"/>
          <w:szCs w:val="32"/>
          <w:rtl/>
          <w:lang w:bidi="fa-IR"/>
        </w:rPr>
        <w:t>اگر نتایج مشارکت در آزمون‌های</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Pr>
        <w:t>PT</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tl/>
          <w:lang w:bidi="fa-IR"/>
        </w:rPr>
        <w:t>رضایت‌بخش نباشد، فرصت شناسایی نواحی بهبود برای ارتقای عملکرد آزمایشگاه‌ فراهم می‌شود. مواردی از قبیل آموزش کارکنان، استفاده از روش‌های جدید، کالیبراسیون یا اصلاح تجهیزات، می‌توانند از خروجی‌های برنامه‌های</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Pr>
        <w:t>PT</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tl/>
          <w:lang w:bidi="fa-IR"/>
        </w:rPr>
        <w:t>باشند.</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943634" w:themeColor="accent2" w:themeShade="BF"/>
          <w:sz w:val="18"/>
          <w:szCs w:val="18"/>
          <w:rtl/>
        </w:rPr>
      </w:pPr>
      <w:r w:rsidRPr="005B2B18">
        <w:rPr>
          <w:rFonts w:ascii="Times New Roman" w:eastAsia="Times New Roman" w:hAnsi="Times New Roman" w:cs="Aban"/>
          <w:color w:val="943634" w:themeColor="accent2" w:themeShade="BF"/>
          <w:sz w:val="32"/>
          <w:szCs w:val="32"/>
          <w:rtl/>
          <w:lang w:bidi="fa-IR"/>
        </w:rPr>
        <w:t>ایجاد اعتماد در کارکنان، مدیریت و مشتریان آزمایشگاه</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17365D" w:themeColor="text2" w:themeShade="BF"/>
          <w:sz w:val="18"/>
          <w:szCs w:val="18"/>
          <w:rtl/>
        </w:rPr>
      </w:pPr>
      <w:r w:rsidRPr="005B2B18">
        <w:rPr>
          <w:rFonts w:ascii="Times New Roman" w:eastAsia="Times New Roman" w:hAnsi="Times New Roman" w:cs="Aban"/>
          <w:color w:val="17365D" w:themeColor="text2" w:themeShade="BF"/>
          <w:sz w:val="32"/>
          <w:szCs w:val="32"/>
          <w:rtl/>
          <w:lang w:bidi="fa-IR"/>
        </w:rPr>
        <w:t>عملکرد موفقیت‌آمیز در آزمون‌های کفایت تخصصی باعث افزایش اعتماد در کارکنان آزمایشگاه و مدیران می‌شود. همچنین آگاهی مشتریان و سایر دینفعان از پایش منظم نتایج آزمایشگاه از طریق مشارکت در برنامه‌های</w:t>
      </w:r>
      <w:r w:rsidRPr="005B2B18">
        <w:rPr>
          <w:rFonts w:ascii="Times New Roman" w:eastAsia="Times New Roman" w:hAnsi="Times New Roman" w:cs="Aban"/>
          <w:color w:val="17365D" w:themeColor="text2" w:themeShade="BF"/>
          <w:szCs w:val="32"/>
          <w:rtl/>
          <w:lang w:bidi="fa-IR"/>
        </w:rPr>
        <w:t> </w:t>
      </w:r>
      <w:r w:rsidRPr="005B2B18">
        <w:rPr>
          <w:rFonts w:ascii="Times New Roman" w:eastAsia="Times New Roman" w:hAnsi="Times New Roman" w:cs="Aban"/>
          <w:color w:val="17365D" w:themeColor="text2" w:themeShade="BF"/>
          <w:sz w:val="32"/>
          <w:szCs w:val="32"/>
        </w:rPr>
        <w:t>PT</w:t>
      </w:r>
      <w:r w:rsidRPr="005B2B18">
        <w:rPr>
          <w:rFonts w:ascii="Times New Roman" w:eastAsia="Times New Roman" w:hAnsi="Times New Roman" w:cs="Aban"/>
          <w:color w:val="17365D" w:themeColor="text2" w:themeShade="BF"/>
          <w:sz w:val="32"/>
          <w:szCs w:val="32"/>
          <w:rtl/>
          <w:lang w:bidi="fa-IR"/>
        </w:rPr>
        <w:t>، باعث افزایش اعتماد آن‌ها به آزمایشگاه می‌شود.</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943634" w:themeColor="accent2" w:themeShade="BF"/>
          <w:sz w:val="18"/>
          <w:szCs w:val="18"/>
          <w:rtl/>
        </w:rPr>
      </w:pPr>
      <w:r w:rsidRPr="005B2B18">
        <w:rPr>
          <w:rFonts w:ascii="Times New Roman" w:eastAsia="Times New Roman" w:hAnsi="Times New Roman" w:cs="Aban"/>
          <w:color w:val="943634" w:themeColor="accent2" w:themeShade="BF"/>
          <w:sz w:val="32"/>
          <w:szCs w:val="32"/>
          <w:rtl/>
          <w:lang w:bidi="fa-IR"/>
        </w:rPr>
        <w:lastRenderedPageBreak/>
        <w:t>مقایسه توانمندی‌‌های کارکنان</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17365D" w:themeColor="text2" w:themeShade="BF"/>
          <w:sz w:val="18"/>
          <w:szCs w:val="18"/>
          <w:rtl/>
        </w:rPr>
      </w:pPr>
      <w:r w:rsidRPr="005B2B18">
        <w:rPr>
          <w:rFonts w:ascii="Times New Roman" w:eastAsia="Times New Roman" w:hAnsi="Times New Roman" w:cs="Aban"/>
          <w:color w:val="17365D" w:themeColor="text2" w:themeShade="BF"/>
          <w:sz w:val="32"/>
          <w:szCs w:val="32"/>
          <w:rtl/>
          <w:lang w:bidi="fa-IR"/>
        </w:rPr>
        <w:t>در برنامه‌هایی که نمونه به اندازه کافی موجود باشد، آزمایشگاه می‌تواند نمونه ارسال شده را بین اپراتورهای مختلف در آزمایشگاه توزیع کند و در نتیجه امکان مقایسه عملکرد اپراتورها با یک ماده مرجع برای آزمایشگاه فراهم می‌شود.</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17365D" w:themeColor="text2" w:themeShade="BF"/>
          <w:sz w:val="18"/>
          <w:szCs w:val="18"/>
          <w:rtl/>
        </w:rPr>
      </w:pPr>
      <w:r w:rsidRPr="005B2B18">
        <w:rPr>
          <w:rFonts w:ascii="Times New Roman" w:eastAsia="Times New Roman" w:hAnsi="Times New Roman" w:cs="Aban"/>
          <w:color w:val="17365D" w:themeColor="text2" w:themeShade="BF"/>
          <w:sz w:val="32"/>
          <w:szCs w:val="32"/>
          <w:rtl/>
          <w:lang w:bidi="fa-IR"/>
        </w:rPr>
        <w:t>دسترسی به مواد مرجع برای انجام فعالیت‌های کنترل کیفیت داخلی</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17365D" w:themeColor="text2" w:themeShade="BF"/>
          <w:sz w:val="18"/>
          <w:szCs w:val="18"/>
          <w:rtl/>
        </w:rPr>
      </w:pPr>
      <w:r w:rsidRPr="005B2B18">
        <w:rPr>
          <w:rFonts w:ascii="Times New Roman" w:eastAsia="Times New Roman" w:hAnsi="Times New Roman" w:cs="Aban"/>
          <w:color w:val="17365D" w:themeColor="text2" w:themeShade="BF"/>
          <w:sz w:val="32"/>
          <w:szCs w:val="32"/>
          <w:rtl/>
          <w:lang w:bidi="fa-IR"/>
        </w:rPr>
        <w:t>در آزمون‌های کفایت تخصصی، نمونه‌های مرجع با ثبات برای شرکت‌کنندگان ارسال می‌شود. در برخی برنامه‌ها، حجم نمونه‌‌های ارسالی به اندازه‌ای است که بخش استفاده نشده این مواد می‌تواند برای انجام فعالیت‌های کنترل کیفیت داخلی مورد استفاده قرار گیرد.</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943634" w:themeColor="accent2" w:themeShade="BF"/>
          <w:sz w:val="18"/>
          <w:szCs w:val="18"/>
          <w:rtl/>
        </w:rPr>
      </w:pPr>
      <w:r w:rsidRPr="005B2B18">
        <w:rPr>
          <w:rFonts w:ascii="Times New Roman" w:eastAsia="Times New Roman" w:hAnsi="Times New Roman" w:cs="Aban"/>
          <w:color w:val="943634" w:themeColor="accent2" w:themeShade="BF"/>
          <w:sz w:val="32"/>
          <w:szCs w:val="32"/>
          <w:rtl/>
          <w:lang w:bidi="fa-IR"/>
        </w:rPr>
        <w:t>تعیین دقت و صحت روش‌ها</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17365D" w:themeColor="text2" w:themeShade="BF"/>
          <w:sz w:val="18"/>
          <w:szCs w:val="18"/>
          <w:rtl/>
        </w:rPr>
      </w:pPr>
      <w:r w:rsidRPr="005B2B18">
        <w:rPr>
          <w:rFonts w:ascii="Times New Roman" w:eastAsia="Times New Roman" w:hAnsi="Times New Roman" w:cs="Aban"/>
          <w:color w:val="17365D" w:themeColor="text2" w:themeShade="BF"/>
          <w:sz w:val="32"/>
          <w:szCs w:val="32"/>
          <w:rtl/>
          <w:lang w:bidi="fa-IR"/>
        </w:rPr>
        <w:t>با توجه به طراحی آزمون‌های کفایت تخصصی، برخی از این برنامه‌ها می‌تواند در تعیین دقت (تکرارپذیری و تجدیدپذیری) و صحت روش‌ها مورد استفاده قرار گیرد.</w:t>
      </w:r>
    </w:p>
    <w:p w:rsidR="00FE412C" w:rsidRPr="005B2B18" w:rsidRDefault="00FE412C" w:rsidP="00FE412C">
      <w:pPr>
        <w:bidi/>
        <w:spacing w:before="100" w:beforeAutospacing="1" w:after="0" w:line="375" w:lineRule="atLeast"/>
        <w:jc w:val="both"/>
        <w:rPr>
          <w:rFonts w:ascii="Times New Roman" w:eastAsia="Times New Roman" w:hAnsi="Times New Roman" w:cs="Aban"/>
          <w:color w:val="943634" w:themeColor="accent2" w:themeShade="BF"/>
          <w:sz w:val="18"/>
          <w:szCs w:val="18"/>
          <w:rtl/>
        </w:rPr>
      </w:pPr>
      <w:r w:rsidRPr="005B2B18">
        <w:rPr>
          <w:rFonts w:ascii="Times New Roman" w:eastAsia="Times New Roman" w:hAnsi="Times New Roman" w:cs="Aban"/>
          <w:color w:val="943634" w:themeColor="accent2" w:themeShade="BF"/>
          <w:sz w:val="32"/>
          <w:szCs w:val="32"/>
          <w:rtl/>
          <w:lang w:bidi="fa-IR"/>
        </w:rPr>
        <w:t>برآورده کردن الزامات مراجع قانونی و مراجع تایید صلاحیت</w:t>
      </w:r>
    </w:p>
    <w:p w:rsidR="00FE412C" w:rsidRPr="005B2B18" w:rsidRDefault="00FE412C" w:rsidP="00FE412C">
      <w:pPr>
        <w:bidi/>
        <w:spacing w:before="100" w:beforeAutospacing="1" w:after="75" w:line="375" w:lineRule="atLeast"/>
        <w:jc w:val="both"/>
        <w:rPr>
          <w:rFonts w:ascii="Times New Roman" w:eastAsia="Times New Roman" w:hAnsi="Times New Roman" w:cs="Aban"/>
          <w:color w:val="17365D" w:themeColor="text2" w:themeShade="BF"/>
          <w:sz w:val="18"/>
          <w:szCs w:val="18"/>
          <w:rtl/>
        </w:rPr>
      </w:pPr>
      <w:r w:rsidRPr="005B2B18">
        <w:rPr>
          <w:rFonts w:ascii="Times New Roman" w:eastAsia="Times New Roman" w:hAnsi="Times New Roman" w:cs="Aban"/>
          <w:color w:val="17365D" w:themeColor="text2" w:themeShade="BF"/>
          <w:sz w:val="32"/>
          <w:szCs w:val="32"/>
          <w:rtl/>
          <w:lang w:bidi="fa-IR"/>
        </w:rPr>
        <w:t>عملکرد مناسب و رضایت‌بخش در آزمون‌های کفایت تخصصی و یا انجام اقدامات اصلاحی مناسب در آزمایشگاه پس از عملکرد ضعیف در آزمون‌های کفایت تخصصی، باعث اطمینان و اعتماد مراجع تایید صلاحیت و مراجع قانونی به نتایج و داده‌های تولید شده در آزمایشگاه میشود.</w:t>
      </w:r>
    </w:p>
    <w:p w:rsidR="00186A43" w:rsidRPr="00FE412C" w:rsidRDefault="00A45368" w:rsidP="00015CF5">
      <w:pPr>
        <w:jc w:val="right"/>
        <w:rPr>
          <w:rFonts w:cs="Aban"/>
          <w:rtl/>
          <w:lang w:bidi="fa-IR"/>
        </w:rPr>
      </w:pPr>
      <w:hyperlink r:id="rId5" w:history="1">
        <w:r w:rsidR="00015CF5" w:rsidRPr="005B2B18">
          <w:rPr>
            <w:rStyle w:val="Hyperlink"/>
            <w:color w:val="17365D" w:themeColor="text2" w:themeShade="BF"/>
          </w:rPr>
          <w:t>http://mkosgh.mihanblog.com/post/46</w:t>
        </w:r>
      </w:hyperlink>
      <w:r w:rsidR="00015CF5" w:rsidRPr="005B2B18">
        <w:rPr>
          <w:rFonts w:hint="cs"/>
          <w:color w:val="17365D" w:themeColor="text2" w:themeShade="BF"/>
          <w:rtl/>
        </w:rPr>
        <w:t xml:space="preserve">  </w:t>
      </w:r>
      <w:r w:rsidR="00015CF5" w:rsidRPr="005B2B18">
        <w:rPr>
          <w:rFonts w:cs="Aban" w:hint="cs"/>
          <w:color w:val="17365D" w:themeColor="text2" w:themeShade="BF"/>
          <w:rtl/>
          <w:lang w:bidi="fa-IR"/>
        </w:rPr>
        <w:t xml:space="preserve"> برگرفته از آدرس</w:t>
      </w:r>
      <w:r w:rsidR="00015CF5">
        <w:rPr>
          <w:rFonts w:cs="Aban" w:hint="cs"/>
          <w:rtl/>
          <w:lang w:bidi="fa-IR"/>
        </w:rPr>
        <w:t xml:space="preserve"> </w:t>
      </w:r>
      <w:r w:rsidR="005B2B18">
        <w:rPr>
          <w:rFonts w:cs="Aban" w:hint="cs"/>
          <w:rtl/>
          <w:lang w:bidi="fa-IR"/>
        </w:rPr>
        <w:t xml:space="preserve">  </w:t>
      </w:r>
      <w:r w:rsidR="00015CF5">
        <w:rPr>
          <w:rFonts w:cs="Aban" w:hint="cs"/>
          <w:rtl/>
          <w:lang w:bidi="fa-IR"/>
        </w:rPr>
        <w:t>:</w:t>
      </w:r>
    </w:p>
    <w:sectPr w:rsidR="00186A43" w:rsidRPr="00FE412C" w:rsidSect="00186A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b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E412C"/>
    <w:rsid w:val="00015CF5"/>
    <w:rsid w:val="00186A43"/>
    <w:rsid w:val="005B2B18"/>
    <w:rsid w:val="00A45368"/>
    <w:rsid w:val="00D656A3"/>
    <w:rsid w:val="00FE41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A43"/>
  </w:style>
  <w:style w:type="paragraph" w:styleId="Heading1">
    <w:name w:val="heading 1"/>
    <w:basedOn w:val="Normal"/>
    <w:link w:val="Heading1Char"/>
    <w:uiPriority w:val="9"/>
    <w:qFormat/>
    <w:rsid w:val="00FE41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12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E412C"/>
    <w:rPr>
      <w:color w:val="0000FF"/>
      <w:u w:val="single"/>
    </w:rPr>
  </w:style>
  <w:style w:type="paragraph" w:styleId="NormalWeb">
    <w:name w:val="Normal (Web)"/>
    <w:basedOn w:val="Normal"/>
    <w:uiPriority w:val="99"/>
    <w:semiHidden/>
    <w:unhideWhenUsed/>
    <w:rsid w:val="00FE4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412C"/>
  </w:style>
</w:styles>
</file>

<file path=word/webSettings.xml><?xml version="1.0" encoding="utf-8"?>
<w:webSettings xmlns:r="http://schemas.openxmlformats.org/officeDocument/2006/relationships" xmlns:w="http://schemas.openxmlformats.org/wordprocessingml/2006/main">
  <w:divs>
    <w:div w:id="433325013">
      <w:bodyDiv w:val="1"/>
      <w:marLeft w:val="0"/>
      <w:marRight w:val="0"/>
      <w:marTop w:val="0"/>
      <w:marBottom w:val="0"/>
      <w:divBdr>
        <w:top w:val="none" w:sz="0" w:space="0" w:color="auto"/>
        <w:left w:val="none" w:sz="0" w:space="0" w:color="auto"/>
        <w:bottom w:val="none" w:sz="0" w:space="0" w:color="auto"/>
        <w:right w:val="none" w:sz="0" w:space="0" w:color="auto"/>
      </w:divBdr>
      <w:divsChild>
        <w:div w:id="656540593">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kosgh.mihanblog.com/post/46" TargetMode="External"/><Relationship Id="rId4" Type="http://schemas.openxmlformats.org/officeDocument/2006/relationships/hyperlink" Target="http://mkosgh.mihanblog.com/post/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619</Words>
  <Characters>3532</Characters>
  <Application>Microsoft Office Word</Application>
  <DocSecurity>0</DocSecurity>
  <Lines>29</Lines>
  <Paragraphs>8</Paragraphs>
  <ScaleCrop>false</ScaleCrop>
  <Company>Office07</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dc:creator>
  <cp:keywords/>
  <dc:description/>
  <cp:lastModifiedBy>qc</cp:lastModifiedBy>
  <cp:revision>3</cp:revision>
  <dcterms:created xsi:type="dcterms:W3CDTF">2014-09-17T08:07:00Z</dcterms:created>
  <dcterms:modified xsi:type="dcterms:W3CDTF">2014-09-17T09:00:00Z</dcterms:modified>
</cp:coreProperties>
</file>